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D191" w14:textId="6411B8F6" w:rsidR="00467C39" w:rsidRDefault="001A2F92" w:rsidP="007C6024">
      <w:pPr>
        <w:spacing w:before="240" w:after="120" w:line="240" w:lineRule="auto"/>
        <w:outlineLvl w:val="1"/>
        <w:rPr>
          <w:rFonts w:ascii="Arial" w:eastAsia="Times New Roman" w:hAnsi="Arial" w:cs="Arial"/>
          <w:b/>
          <w:bCs/>
          <w:color w:val="4B4B4B"/>
          <w:sz w:val="23"/>
          <w:szCs w:val="23"/>
          <w:lang w:eastAsia="pl-PL"/>
        </w:rPr>
      </w:pPr>
      <w:r>
        <w:rPr>
          <w:rFonts w:ascii="Arial" w:eastAsia="Times New Roman" w:hAnsi="Arial" w:cs="Arial"/>
          <w:b/>
          <w:bCs/>
          <w:color w:val="4B4B4B"/>
          <w:sz w:val="23"/>
          <w:szCs w:val="23"/>
          <w:lang w:eastAsia="pl-PL"/>
        </w:rPr>
        <w:t xml:space="preserve">Kontrola zarządcza </w:t>
      </w:r>
      <w:r w:rsidR="000F1A53">
        <w:rPr>
          <w:rFonts w:ascii="Arial" w:eastAsia="Times New Roman" w:hAnsi="Arial" w:cs="Arial"/>
          <w:b/>
          <w:bCs/>
          <w:color w:val="4B4B4B"/>
          <w:sz w:val="23"/>
          <w:szCs w:val="23"/>
          <w:lang w:eastAsia="pl-PL"/>
        </w:rPr>
        <w:t xml:space="preserve">oraz </w:t>
      </w:r>
      <w:r>
        <w:rPr>
          <w:rFonts w:ascii="Arial" w:eastAsia="Times New Roman" w:hAnsi="Arial" w:cs="Arial"/>
          <w:b/>
          <w:bCs/>
          <w:color w:val="4B4B4B"/>
          <w:sz w:val="23"/>
          <w:szCs w:val="23"/>
          <w:lang w:eastAsia="pl-PL"/>
        </w:rPr>
        <w:t>zarządzanie ryzykiem</w:t>
      </w:r>
      <w:r w:rsidR="000F1A53">
        <w:rPr>
          <w:rFonts w:ascii="Arial" w:eastAsia="Times New Roman" w:hAnsi="Arial" w:cs="Arial"/>
          <w:b/>
          <w:bCs/>
          <w:color w:val="4B4B4B"/>
          <w:sz w:val="23"/>
          <w:szCs w:val="23"/>
          <w:lang w:eastAsia="pl-PL"/>
        </w:rPr>
        <w:t xml:space="preserve"> i szansami</w:t>
      </w:r>
      <w:r>
        <w:rPr>
          <w:rFonts w:ascii="Arial" w:eastAsia="Times New Roman" w:hAnsi="Arial" w:cs="Arial"/>
          <w:b/>
          <w:bCs/>
          <w:color w:val="4B4B4B"/>
          <w:sz w:val="23"/>
          <w:szCs w:val="23"/>
          <w:lang w:eastAsia="pl-PL"/>
        </w:rPr>
        <w:t>.</w:t>
      </w:r>
    </w:p>
    <w:p w14:paraId="2A3F85A3" w14:textId="77777777" w:rsidR="007C6024" w:rsidRPr="007C6024" w:rsidRDefault="00B02699" w:rsidP="007C602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509333F5">
          <v:rect id="_x0000_i1025" style="width:0;height:1.5pt" o:hralign="center" o:hrstd="t" o:hrnoshade="t" o:hr="t" fillcolor="#4b4b4b" stroked="f"/>
        </w:pict>
      </w:r>
    </w:p>
    <w:p w14:paraId="6BCB1E54" w14:textId="77777777" w:rsidR="008718D6" w:rsidRDefault="008718D6" w:rsidP="007D0281">
      <w:pPr>
        <w:spacing w:after="0" w:line="240" w:lineRule="auto"/>
        <w:jc w:val="both"/>
        <w:rPr>
          <w:rFonts w:ascii="Arial" w:eastAsia="Times New Roman" w:hAnsi="Arial" w:cs="Arial"/>
          <w:color w:val="4B4B4B"/>
          <w:sz w:val="18"/>
          <w:szCs w:val="18"/>
          <w:lang w:eastAsia="pl-PL"/>
        </w:rPr>
      </w:pPr>
    </w:p>
    <w:p w14:paraId="261FC785" w14:textId="77777777" w:rsidR="00E670D6" w:rsidRPr="00E670D6" w:rsidRDefault="00E670D6" w:rsidP="00E670D6">
      <w:pPr>
        <w:spacing w:after="48" w:line="240" w:lineRule="atLeast"/>
        <w:jc w:val="both"/>
        <w:rPr>
          <w:rFonts w:eastAsia="Times New Roman" w:cs="Arial"/>
          <w:color w:val="4B4B4B"/>
          <w:lang w:eastAsia="pl-PL"/>
        </w:rPr>
      </w:pPr>
      <w:r w:rsidRPr="00E670D6">
        <w:rPr>
          <w:rFonts w:eastAsia="Times New Roman" w:cs="Arial"/>
          <w:color w:val="4B4B4B"/>
          <w:lang w:eastAsia="pl-PL"/>
        </w:rPr>
        <w:t>Kontrola zarządcza funkcjonuje w polskich jednostkach sektora finansów publicznych już od wielu lat. W ciągu tego czasu pojawiło się wiele bardzo dobrych pomysłów wdrożenia różnych rozwiązań dzięki którym spełniane są wymagania kontroli zarządczej. Szkolenie to oprócz uporządkowanego zaprezentowania wymagań kontroli zarządczej, ma na celu przedstawianie, jak te wymagania można w możliwie najprostszy sposób spełnić wdrażając rozwiązania z powodzeniem zastosowane w rożnych jednostkach sektora finansów publicznych. Dużo uwagi podczas szkolenia poświęcone zostanie zwłaszcza tym wymaganiom kontroli zarządczej, które do praktyki sektora finansów publicznych wprowadziła kontrola zarządcza np. planowanie połączone z mierzeniem realizacji celów, zapewnienie ciągłości działalności,  czy samoocena kontroli zarządczej. Szczególnie obszernie przedstawiona zostanie problematyka  zarządzania ryzykiem będąca jednym z najistotniejszych nowych wymagań kontroli zarządczej.</w:t>
      </w:r>
    </w:p>
    <w:p w14:paraId="73715425" w14:textId="77777777" w:rsidR="001E0507" w:rsidRDefault="001E0507" w:rsidP="00C769C2">
      <w:pPr>
        <w:spacing w:after="48" w:line="240" w:lineRule="atLeast"/>
        <w:jc w:val="both"/>
        <w:rPr>
          <w:rFonts w:eastAsia="Times New Roman" w:cs="Arial"/>
          <w:color w:val="4B4B4B"/>
          <w:lang w:eastAsia="pl-PL"/>
        </w:rPr>
      </w:pPr>
    </w:p>
    <w:p w14:paraId="4D0883C9" w14:textId="77777777" w:rsidR="007C6024" w:rsidRPr="007C6024" w:rsidRDefault="007C6024" w:rsidP="007C6024">
      <w:pPr>
        <w:spacing w:after="0" w:line="240" w:lineRule="auto"/>
        <w:rPr>
          <w:rFonts w:ascii="Arial" w:eastAsia="Times New Roman" w:hAnsi="Arial" w:cs="Arial"/>
          <w:color w:val="4B4B4B"/>
          <w:sz w:val="18"/>
          <w:szCs w:val="18"/>
          <w:lang w:eastAsia="pl-PL"/>
        </w:rPr>
      </w:pPr>
    </w:p>
    <w:p w14:paraId="5AB497BA" w14:textId="77777777" w:rsidR="007C6024" w:rsidRPr="007C6024" w:rsidRDefault="007C6024" w:rsidP="007C6024">
      <w:pPr>
        <w:shd w:val="clear" w:color="auto" w:fill="D7D7DF"/>
        <w:spacing w:after="0" w:line="240" w:lineRule="auto"/>
        <w:outlineLvl w:val="3"/>
        <w:rPr>
          <w:rFonts w:ascii="Arial" w:eastAsia="Times New Roman" w:hAnsi="Arial" w:cs="Arial"/>
          <w:b/>
          <w:bCs/>
          <w:color w:val="4B4B4B"/>
          <w:sz w:val="21"/>
          <w:szCs w:val="21"/>
          <w:lang w:eastAsia="pl-PL"/>
        </w:rPr>
      </w:pPr>
      <w:r w:rsidRPr="007C6024">
        <w:rPr>
          <w:rFonts w:ascii="Tahoma" w:eastAsia="Times New Roman" w:hAnsi="Tahoma" w:cs="Tahoma"/>
          <w:b/>
          <w:bCs/>
          <w:color w:val="4B4B4B"/>
          <w:sz w:val="24"/>
          <w:szCs w:val="24"/>
          <w:u w:val="single"/>
          <w:shd w:val="clear" w:color="auto" w:fill="D7D7DF"/>
          <w:lang w:eastAsia="pl-PL"/>
        </w:rPr>
        <w:t>Odbiorcy</w:t>
      </w:r>
    </w:p>
    <w:p w14:paraId="5D2D8F03" w14:textId="77777777" w:rsidR="007C6024" w:rsidRPr="007C6024" w:rsidRDefault="007C6024" w:rsidP="007C6024">
      <w:pPr>
        <w:spacing w:after="48" w:line="312" w:lineRule="atLeast"/>
        <w:jc w:val="both"/>
        <w:rPr>
          <w:rFonts w:ascii="Arial" w:eastAsia="Times New Roman" w:hAnsi="Arial" w:cs="Arial"/>
          <w:color w:val="4B4B4B"/>
          <w:sz w:val="18"/>
          <w:szCs w:val="18"/>
          <w:lang w:eastAsia="pl-PL"/>
        </w:rPr>
      </w:pPr>
      <w:r w:rsidRPr="007C6024">
        <w:rPr>
          <w:rFonts w:ascii="Arial" w:eastAsia="Times New Roman" w:hAnsi="Arial" w:cs="Arial"/>
          <w:color w:val="4B4B4B"/>
          <w:sz w:val="18"/>
          <w:szCs w:val="18"/>
          <w:lang w:eastAsia="pl-PL"/>
        </w:rPr>
        <w:t> </w:t>
      </w:r>
    </w:p>
    <w:p w14:paraId="6F7D62CF" w14:textId="77777777" w:rsidR="000F1A53" w:rsidRDefault="007F5D9D" w:rsidP="007C6024">
      <w:pPr>
        <w:spacing w:after="48" w:line="312" w:lineRule="atLeast"/>
        <w:jc w:val="both"/>
        <w:rPr>
          <w:rFonts w:eastAsia="Times New Roman" w:cs="Arial"/>
          <w:color w:val="4B4B4B"/>
          <w:lang w:eastAsia="pl-PL"/>
        </w:rPr>
      </w:pPr>
      <w:r w:rsidRPr="008B0334">
        <w:rPr>
          <w:rFonts w:eastAsia="Times New Roman" w:cs="Arial"/>
          <w:color w:val="4B4B4B"/>
          <w:lang w:eastAsia="pl-PL"/>
        </w:rPr>
        <w:t xml:space="preserve">Pracownicy </w:t>
      </w:r>
      <w:r w:rsidR="000F1A53">
        <w:rPr>
          <w:rFonts w:eastAsia="Times New Roman" w:cs="Arial"/>
          <w:color w:val="4B4B4B"/>
          <w:lang w:eastAsia="pl-PL"/>
        </w:rPr>
        <w:t xml:space="preserve">laboratoriów badawczych będących </w:t>
      </w:r>
      <w:bookmarkStart w:id="0" w:name="_Hlk98695434"/>
      <w:r w:rsidR="000F1A53">
        <w:rPr>
          <w:rFonts w:eastAsia="Times New Roman" w:cs="Arial"/>
          <w:color w:val="4B4B4B"/>
          <w:lang w:eastAsia="pl-PL"/>
        </w:rPr>
        <w:t>jednostkami sektora finansów publicznych</w:t>
      </w:r>
      <w:bookmarkEnd w:id="0"/>
      <w:r w:rsidR="000F1A53">
        <w:rPr>
          <w:rFonts w:eastAsia="Times New Roman" w:cs="Arial"/>
          <w:color w:val="4B4B4B"/>
          <w:lang w:eastAsia="pl-PL"/>
        </w:rPr>
        <w:t xml:space="preserve">, w których istnieje obowiązek sprawowania kontroli zarządczej. </w:t>
      </w:r>
    </w:p>
    <w:p w14:paraId="2B21F424" w14:textId="628B030D" w:rsidR="00032A88" w:rsidRDefault="000F1A53" w:rsidP="007C6024">
      <w:pPr>
        <w:spacing w:after="48" w:line="312" w:lineRule="atLeast"/>
        <w:jc w:val="both"/>
        <w:rPr>
          <w:rFonts w:eastAsia="Times New Roman" w:cs="Arial"/>
          <w:color w:val="4B4B4B"/>
          <w:lang w:eastAsia="pl-PL"/>
        </w:rPr>
      </w:pPr>
      <w:r>
        <w:rPr>
          <w:rFonts w:eastAsia="Times New Roman" w:cs="Arial"/>
          <w:color w:val="4B4B4B"/>
          <w:lang w:eastAsia="pl-PL"/>
        </w:rPr>
        <w:t xml:space="preserve">Szkolenie może być także interesujące i przydatne dla pracowników laboratoriów badawczych nie będących jednostkami sektora finansów publicznych, którzy zainteresowani są problematyką zarządzania laboratoriami </w:t>
      </w:r>
      <w:r w:rsidR="006542A6">
        <w:rPr>
          <w:rFonts w:eastAsia="Times New Roman" w:cs="Arial"/>
          <w:color w:val="4B4B4B"/>
          <w:lang w:eastAsia="pl-PL"/>
        </w:rPr>
        <w:t xml:space="preserve">zgodnie ze </w:t>
      </w:r>
      <w:r>
        <w:rPr>
          <w:rFonts w:eastAsia="Times New Roman" w:cs="Arial"/>
          <w:color w:val="4B4B4B"/>
          <w:lang w:eastAsia="pl-PL"/>
        </w:rPr>
        <w:t>standard</w:t>
      </w:r>
      <w:r w:rsidR="006542A6">
        <w:rPr>
          <w:rFonts w:eastAsia="Times New Roman" w:cs="Arial"/>
          <w:color w:val="4B4B4B"/>
          <w:lang w:eastAsia="pl-PL"/>
        </w:rPr>
        <w:t>ami</w:t>
      </w:r>
      <w:r>
        <w:rPr>
          <w:rFonts w:eastAsia="Times New Roman" w:cs="Arial"/>
          <w:color w:val="4B4B4B"/>
          <w:lang w:eastAsia="pl-PL"/>
        </w:rPr>
        <w:t xml:space="preserve"> </w:t>
      </w:r>
      <w:r w:rsidR="00032A88">
        <w:rPr>
          <w:rFonts w:eastAsia="Times New Roman" w:cs="Arial"/>
          <w:color w:val="4B4B4B"/>
          <w:lang w:eastAsia="pl-PL"/>
        </w:rPr>
        <w:t>wzorowa</w:t>
      </w:r>
      <w:r w:rsidR="006542A6">
        <w:rPr>
          <w:rFonts w:eastAsia="Times New Roman" w:cs="Arial"/>
          <w:color w:val="4B4B4B"/>
          <w:lang w:eastAsia="pl-PL"/>
        </w:rPr>
        <w:t>nymi</w:t>
      </w:r>
      <w:r w:rsidR="00032A88">
        <w:rPr>
          <w:rFonts w:eastAsia="Times New Roman" w:cs="Arial"/>
          <w:color w:val="4B4B4B"/>
          <w:lang w:eastAsia="pl-PL"/>
        </w:rPr>
        <w:t xml:space="preserve"> na uznanych na świecie standardach zarządzania stosowanych </w:t>
      </w:r>
      <w:r w:rsidR="00E670D6">
        <w:rPr>
          <w:rFonts w:eastAsia="Times New Roman" w:cs="Arial"/>
          <w:color w:val="4B4B4B"/>
          <w:lang w:eastAsia="pl-PL"/>
        </w:rPr>
        <w:t xml:space="preserve">w </w:t>
      </w:r>
      <w:r w:rsidR="00032A88">
        <w:rPr>
          <w:rFonts w:eastAsia="Times New Roman" w:cs="Arial"/>
          <w:color w:val="4B4B4B"/>
          <w:lang w:eastAsia="pl-PL"/>
        </w:rPr>
        <w:t>komercyjnych organizacjach.</w:t>
      </w:r>
    </w:p>
    <w:p w14:paraId="68B8D02F" w14:textId="77777777" w:rsidR="007C6024" w:rsidRPr="007C6024" w:rsidRDefault="007C6024" w:rsidP="007C6024">
      <w:pPr>
        <w:spacing w:after="48" w:line="312" w:lineRule="atLeast"/>
        <w:jc w:val="both"/>
        <w:rPr>
          <w:rFonts w:ascii="Arial" w:eastAsia="Times New Roman" w:hAnsi="Arial" w:cs="Arial"/>
          <w:color w:val="4B4B4B"/>
          <w:sz w:val="18"/>
          <w:szCs w:val="18"/>
          <w:lang w:eastAsia="pl-PL"/>
        </w:rPr>
      </w:pPr>
      <w:r w:rsidRPr="007C6024">
        <w:rPr>
          <w:rFonts w:ascii="Arial" w:eastAsia="Times New Roman" w:hAnsi="Arial" w:cs="Arial"/>
          <w:color w:val="4B4B4B"/>
          <w:sz w:val="24"/>
          <w:szCs w:val="24"/>
          <w:lang w:eastAsia="pl-PL"/>
        </w:rPr>
        <w:t> </w:t>
      </w:r>
    </w:p>
    <w:p w14:paraId="15179B0E" w14:textId="77777777" w:rsidR="007C6024" w:rsidRPr="007C6024" w:rsidRDefault="007C6024" w:rsidP="007C6024">
      <w:pPr>
        <w:shd w:val="clear" w:color="auto" w:fill="D7D7DF"/>
        <w:spacing w:after="0" w:line="240" w:lineRule="auto"/>
        <w:outlineLvl w:val="3"/>
        <w:rPr>
          <w:rFonts w:ascii="Arial" w:eastAsia="Times New Roman" w:hAnsi="Arial" w:cs="Arial"/>
          <w:b/>
          <w:bCs/>
          <w:color w:val="4B4B4B"/>
          <w:sz w:val="21"/>
          <w:szCs w:val="21"/>
          <w:lang w:eastAsia="pl-PL"/>
        </w:rPr>
      </w:pPr>
      <w:r w:rsidRPr="007C6024">
        <w:rPr>
          <w:rFonts w:ascii="Tahoma" w:eastAsia="Times New Roman" w:hAnsi="Tahoma" w:cs="Tahoma"/>
          <w:b/>
          <w:bCs/>
          <w:color w:val="4B4B4B"/>
          <w:sz w:val="24"/>
          <w:szCs w:val="24"/>
          <w:u w:val="single"/>
          <w:lang w:eastAsia="pl-PL"/>
        </w:rPr>
        <w:t>Cel szkolenia</w:t>
      </w:r>
    </w:p>
    <w:p w14:paraId="45A424DA" w14:textId="77777777" w:rsidR="006D41D6" w:rsidRDefault="007C6024" w:rsidP="006D41D6">
      <w:pPr>
        <w:spacing w:after="48" w:line="312" w:lineRule="atLeast"/>
        <w:jc w:val="both"/>
        <w:rPr>
          <w:rFonts w:ascii="Arial" w:eastAsia="Times New Roman" w:hAnsi="Arial" w:cs="Arial"/>
          <w:color w:val="4B4B4B"/>
          <w:sz w:val="18"/>
          <w:szCs w:val="18"/>
          <w:lang w:eastAsia="pl-PL"/>
        </w:rPr>
      </w:pPr>
      <w:r w:rsidRPr="007C6024">
        <w:rPr>
          <w:rFonts w:ascii="Arial" w:eastAsia="Times New Roman" w:hAnsi="Arial" w:cs="Arial"/>
          <w:color w:val="4B4B4B"/>
          <w:sz w:val="18"/>
          <w:szCs w:val="18"/>
          <w:lang w:eastAsia="pl-PL"/>
        </w:rPr>
        <w:t> </w:t>
      </w:r>
    </w:p>
    <w:p w14:paraId="35620836" w14:textId="77777777" w:rsidR="00E670D6" w:rsidRDefault="00E670D6" w:rsidP="00E670D6">
      <w:pPr>
        <w:pStyle w:val="Akapitzlist"/>
        <w:numPr>
          <w:ilvl w:val="0"/>
          <w:numId w:val="28"/>
        </w:numPr>
        <w:spacing w:after="48" w:line="312" w:lineRule="atLeast"/>
        <w:ind w:left="426" w:hanging="426"/>
        <w:jc w:val="both"/>
        <w:rPr>
          <w:rFonts w:eastAsia="Times New Roman" w:cs="Arial"/>
          <w:color w:val="4B4B4B"/>
          <w:lang w:eastAsia="pl-PL"/>
        </w:rPr>
      </w:pPr>
      <w:r>
        <w:rPr>
          <w:rFonts w:eastAsia="Times New Roman" w:cs="Arial"/>
          <w:color w:val="4B4B4B"/>
          <w:lang w:eastAsia="pl-PL"/>
        </w:rPr>
        <w:t>Przedstawienie przyczyn wdrożenia w jednostkach sektora finansów publicznych kontroli zarządczej</w:t>
      </w:r>
    </w:p>
    <w:p w14:paraId="0CE1BD96" w14:textId="77777777" w:rsidR="00E670D6" w:rsidRPr="002E09C0" w:rsidRDefault="00E670D6" w:rsidP="00E670D6">
      <w:pPr>
        <w:pStyle w:val="Akapitzlist"/>
        <w:numPr>
          <w:ilvl w:val="0"/>
          <w:numId w:val="28"/>
        </w:numPr>
        <w:spacing w:after="48" w:line="312" w:lineRule="atLeast"/>
        <w:ind w:left="426" w:hanging="426"/>
        <w:jc w:val="both"/>
        <w:rPr>
          <w:rFonts w:eastAsia="Times New Roman" w:cs="Arial"/>
          <w:color w:val="4B4B4B"/>
          <w:lang w:eastAsia="pl-PL"/>
        </w:rPr>
      </w:pPr>
      <w:r w:rsidRPr="002E09C0">
        <w:rPr>
          <w:rFonts w:eastAsia="Times New Roman" w:cs="Arial"/>
          <w:color w:val="4B4B4B"/>
          <w:lang w:eastAsia="pl-PL"/>
        </w:rPr>
        <w:t>Szczegółowe zaprezentowanie sposob</w:t>
      </w:r>
      <w:r>
        <w:rPr>
          <w:rFonts w:eastAsia="Times New Roman" w:cs="Arial"/>
          <w:color w:val="4B4B4B"/>
          <w:lang w:eastAsia="pl-PL"/>
        </w:rPr>
        <w:t>ów</w:t>
      </w:r>
      <w:r w:rsidRPr="002E09C0">
        <w:rPr>
          <w:rFonts w:eastAsia="Times New Roman" w:cs="Arial"/>
          <w:color w:val="4B4B4B"/>
          <w:lang w:eastAsia="pl-PL"/>
        </w:rPr>
        <w:t xml:space="preserve"> wypełniania nowych obowiązków wprowadzonych do praktyki jednostek sektora finansów publicznych przez Standardy kontroli zarządczej dla sektora finansów publicznych (m. in. </w:t>
      </w:r>
      <w:r>
        <w:rPr>
          <w:rFonts w:eastAsia="Times New Roman" w:cs="Arial"/>
          <w:color w:val="4B4B4B"/>
          <w:lang w:eastAsia="pl-PL"/>
        </w:rPr>
        <w:t xml:space="preserve">zarządzanie ryzykiem, </w:t>
      </w:r>
      <w:r w:rsidRPr="002E09C0">
        <w:rPr>
          <w:rFonts w:eastAsia="Times New Roman" w:cs="Arial"/>
          <w:color w:val="4B4B4B"/>
          <w:lang w:eastAsia="pl-PL"/>
        </w:rPr>
        <w:t>monitorowanie i samoocena kontroli zarządczej, uzyskanie zapewnienia o stanie kontroli zarządczej</w:t>
      </w:r>
      <w:r>
        <w:rPr>
          <w:rFonts w:eastAsia="Times New Roman" w:cs="Arial"/>
          <w:color w:val="4B4B4B"/>
          <w:lang w:eastAsia="pl-PL"/>
        </w:rPr>
        <w:t>, planowanie działalności połączone z mierzeniem stopnia realizacji celów</w:t>
      </w:r>
      <w:r w:rsidRPr="002E09C0">
        <w:rPr>
          <w:rFonts w:eastAsia="Times New Roman" w:cs="Arial"/>
          <w:color w:val="4B4B4B"/>
          <w:lang w:eastAsia="pl-PL"/>
        </w:rPr>
        <w:t>).</w:t>
      </w:r>
    </w:p>
    <w:p w14:paraId="5F9F2F77" w14:textId="166B2E5A" w:rsidR="002E09C0" w:rsidRPr="00E670D6" w:rsidRDefault="00E670D6" w:rsidP="00E670D6">
      <w:pPr>
        <w:pStyle w:val="Akapitzlist"/>
        <w:numPr>
          <w:ilvl w:val="0"/>
          <w:numId w:val="28"/>
        </w:numPr>
        <w:spacing w:after="48" w:line="312" w:lineRule="atLeast"/>
        <w:ind w:left="426" w:hanging="426"/>
        <w:jc w:val="both"/>
        <w:rPr>
          <w:rFonts w:eastAsia="Times New Roman" w:cs="Arial"/>
          <w:color w:val="4B4B4B"/>
          <w:lang w:eastAsia="pl-PL"/>
        </w:rPr>
      </w:pPr>
      <w:r w:rsidRPr="008B0334">
        <w:rPr>
          <w:rFonts w:eastAsia="Times New Roman" w:cs="Arial"/>
          <w:color w:val="4B4B4B"/>
          <w:lang w:eastAsia="pl-PL"/>
        </w:rPr>
        <w:t xml:space="preserve">Zdobycie przez uczestników </w:t>
      </w:r>
      <w:r>
        <w:rPr>
          <w:rFonts w:eastAsia="Times New Roman" w:cs="Arial"/>
          <w:color w:val="4B4B4B"/>
          <w:lang w:eastAsia="pl-PL"/>
        </w:rPr>
        <w:t xml:space="preserve">szkolenia wiedzy </w:t>
      </w:r>
      <w:r w:rsidRPr="008B0334">
        <w:rPr>
          <w:rFonts w:eastAsia="Times New Roman" w:cs="Arial"/>
          <w:color w:val="4B4B4B"/>
          <w:lang w:eastAsia="pl-PL"/>
        </w:rPr>
        <w:t>umożliwiając</w:t>
      </w:r>
      <w:r>
        <w:rPr>
          <w:rFonts w:eastAsia="Times New Roman" w:cs="Arial"/>
          <w:color w:val="4B4B4B"/>
          <w:lang w:eastAsia="pl-PL"/>
        </w:rPr>
        <w:t>ej</w:t>
      </w:r>
      <w:r w:rsidRPr="008B0334">
        <w:rPr>
          <w:rFonts w:eastAsia="Times New Roman" w:cs="Arial"/>
          <w:color w:val="4B4B4B"/>
          <w:lang w:eastAsia="pl-PL"/>
        </w:rPr>
        <w:t xml:space="preserve"> </w:t>
      </w:r>
      <w:r>
        <w:rPr>
          <w:rFonts w:eastAsia="Times New Roman" w:cs="Arial"/>
          <w:color w:val="4B4B4B"/>
          <w:lang w:eastAsia="pl-PL"/>
        </w:rPr>
        <w:t xml:space="preserve">opracowanie lub udoskonalenie </w:t>
      </w:r>
      <w:r w:rsidRPr="008B0334">
        <w:rPr>
          <w:rFonts w:eastAsia="Times New Roman" w:cs="Arial"/>
          <w:color w:val="4B4B4B"/>
          <w:lang w:eastAsia="pl-PL"/>
        </w:rPr>
        <w:t xml:space="preserve">systemu kontroli zarządczej własnej jednostki </w:t>
      </w:r>
      <w:r>
        <w:rPr>
          <w:rFonts w:eastAsia="Times New Roman" w:cs="Arial"/>
          <w:color w:val="4B4B4B"/>
          <w:lang w:eastAsia="pl-PL"/>
        </w:rPr>
        <w:t>w oparciu o dobre praktyki zaprezentowane podczas szkolenia.</w:t>
      </w:r>
    </w:p>
    <w:p w14:paraId="724E1103" w14:textId="77777777" w:rsidR="006D41D6" w:rsidRPr="006D41D6" w:rsidRDefault="006D41D6" w:rsidP="006D41D6">
      <w:pPr>
        <w:pStyle w:val="Akapitzlist"/>
        <w:spacing w:after="48" w:line="312" w:lineRule="atLeast"/>
        <w:ind w:left="426"/>
        <w:jc w:val="both"/>
        <w:rPr>
          <w:rFonts w:ascii="Verdana" w:eastAsia="Times New Roman" w:hAnsi="Verdana" w:cs="Arial"/>
          <w:color w:val="4B4B4B"/>
          <w:sz w:val="24"/>
          <w:szCs w:val="24"/>
          <w:lang w:eastAsia="pl-PL"/>
        </w:rPr>
      </w:pPr>
    </w:p>
    <w:p w14:paraId="37EFA1CB" w14:textId="77777777" w:rsidR="003B267C" w:rsidRPr="007C6024" w:rsidRDefault="003B267C" w:rsidP="003B267C">
      <w:pPr>
        <w:shd w:val="clear" w:color="auto" w:fill="D7D7DF"/>
        <w:spacing w:after="0" w:line="240" w:lineRule="auto"/>
        <w:outlineLvl w:val="3"/>
        <w:rPr>
          <w:rFonts w:ascii="Arial" w:eastAsia="Times New Roman" w:hAnsi="Arial" w:cs="Arial"/>
          <w:b/>
          <w:bCs/>
          <w:color w:val="4B4B4B"/>
          <w:sz w:val="21"/>
          <w:szCs w:val="21"/>
          <w:lang w:eastAsia="pl-PL"/>
        </w:rPr>
      </w:pPr>
      <w:r>
        <w:rPr>
          <w:rFonts w:ascii="Tahoma" w:eastAsia="Times New Roman" w:hAnsi="Tahoma" w:cs="Tahoma"/>
          <w:b/>
          <w:bCs/>
          <w:color w:val="4B4B4B"/>
          <w:sz w:val="24"/>
          <w:szCs w:val="24"/>
          <w:u w:val="single"/>
          <w:lang w:eastAsia="pl-PL"/>
        </w:rPr>
        <w:t>Forma prowadzenia zajęć</w:t>
      </w:r>
    </w:p>
    <w:p w14:paraId="7F1EAC67" w14:textId="77777777" w:rsidR="003B267C" w:rsidRPr="007C6024" w:rsidRDefault="003B267C" w:rsidP="003B267C">
      <w:pPr>
        <w:spacing w:after="48" w:line="312" w:lineRule="atLeast"/>
        <w:jc w:val="both"/>
        <w:rPr>
          <w:rFonts w:ascii="Arial" w:eastAsia="Times New Roman" w:hAnsi="Arial" w:cs="Arial"/>
          <w:color w:val="4B4B4B"/>
          <w:sz w:val="18"/>
          <w:szCs w:val="18"/>
          <w:lang w:eastAsia="pl-PL"/>
        </w:rPr>
      </w:pPr>
      <w:r w:rsidRPr="007C6024">
        <w:rPr>
          <w:rFonts w:ascii="Arial" w:eastAsia="Times New Roman" w:hAnsi="Arial" w:cs="Arial"/>
          <w:color w:val="4B4B4B"/>
          <w:sz w:val="18"/>
          <w:szCs w:val="18"/>
          <w:lang w:eastAsia="pl-PL"/>
        </w:rPr>
        <w:t> </w:t>
      </w:r>
    </w:p>
    <w:p w14:paraId="4C1145C9" w14:textId="4D087448" w:rsidR="00904CB7" w:rsidRPr="002E09C0" w:rsidRDefault="009369C1" w:rsidP="007C6024">
      <w:pPr>
        <w:spacing w:after="48" w:line="312" w:lineRule="atLeast"/>
        <w:jc w:val="both"/>
        <w:rPr>
          <w:rFonts w:eastAsia="Times New Roman" w:cs="Arial"/>
          <w:color w:val="4B4B4B"/>
          <w:lang w:eastAsia="pl-PL"/>
        </w:rPr>
      </w:pPr>
      <w:r w:rsidRPr="008B0334">
        <w:rPr>
          <w:rFonts w:eastAsia="Times New Roman" w:cs="Arial"/>
          <w:color w:val="4B4B4B"/>
          <w:lang w:eastAsia="pl-PL"/>
        </w:rPr>
        <w:t>aktywizujący</w:t>
      </w:r>
      <w:r w:rsidR="00644B56" w:rsidRPr="008B0334">
        <w:rPr>
          <w:rFonts w:eastAsia="Times New Roman" w:cs="Arial"/>
          <w:color w:val="4B4B4B"/>
          <w:lang w:eastAsia="pl-PL"/>
        </w:rPr>
        <w:t xml:space="preserve"> wykład, warsztat</w:t>
      </w:r>
      <w:r w:rsidR="00F16FA4" w:rsidRPr="008B0334">
        <w:rPr>
          <w:rFonts w:eastAsia="Times New Roman" w:cs="Arial"/>
          <w:color w:val="4B4B4B"/>
          <w:lang w:eastAsia="pl-PL"/>
        </w:rPr>
        <w:t>y</w:t>
      </w:r>
    </w:p>
    <w:p w14:paraId="4DAF1D90" w14:textId="63861956" w:rsidR="00904CB7" w:rsidRDefault="00904CB7" w:rsidP="007C6024">
      <w:pPr>
        <w:spacing w:after="48" w:line="312" w:lineRule="atLeast"/>
        <w:jc w:val="both"/>
        <w:rPr>
          <w:rFonts w:ascii="Arial" w:eastAsia="Times New Roman" w:hAnsi="Arial" w:cs="Arial"/>
          <w:color w:val="4B4B4B"/>
          <w:sz w:val="18"/>
          <w:szCs w:val="18"/>
          <w:lang w:eastAsia="pl-PL"/>
        </w:rPr>
      </w:pPr>
    </w:p>
    <w:p w14:paraId="2A86D8FA" w14:textId="123EB568" w:rsidR="00E670D6" w:rsidRDefault="00E670D6" w:rsidP="007C6024">
      <w:pPr>
        <w:spacing w:after="48" w:line="312" w:lineRule="atLeast"/>
        <w:jc w:val="both"/>
        <w:rPr>
          <w:rFonts w:ascii="Arial" w:eastAsia="Times New Roman" w:hAnsi="Arial" w:cs="Arial"/>
          <w:color w:val="4B4B4B"/>
          <w:sz w:val="18"/>
          <w:szCs w:val="18"/>
          <w:lang w:eastAsia="pl-PL"/>
        </w:rPr>
      </w:pPr>
    </w:p>
    <w:p w14:paraId="0AC20E4F" w14:textId="77777777" w:rsidR="00E670D6" w:rsidRDefault="00E670D6" w:rsidP="007C6024">
      <w:pPr>
        <w:spacing w:after="48" w:line="312" w:lineRule="atLeast"/>
        <w:jc w:val="both"/>
        <w:rPr>
          <w:rFonts w:ascii="Arial" w:eastAsia="Times New Roman" w:hAnsi="Arial" w:cs="Arial"/>
          <w:color w:val="4B4B4B"/>
          <w:sz w:val="18"/>
          <w:szCs w:val="18"/>
          <w:lang w:eastAsia="pl-PL"/>
        </w:rPr>
      </w:pPr>
    </w:p>
    <w:p w14:paraId="49AC3962" w14:textId="565C8D64" w:rsidR="00A413F1" w:rsidRPr="00A413F1" w:rsidRDefault="007C6024" w:rsidP="00A413F1">
      <w:pPr>
        <w:shd w:val="clear" w:color="auto" w:fill="D7D7DF"/>
        <w:spacing w:after="0" w:line="240" w:lineRule="auto"/>
        <w:outlineLvl w:val="3"/>
        <w:rPr>
          <w:rFonts w:ascii="Arial" w:eastAsia="Times New Roman" w:hAnsi="Arial" w:cs="Arial"/>
          <w:b/>
          <w:bCs/>
          <w:color w:val="4B4B4B"/>
          <w:sz w:val="21"/>
          <w:szCs w:val="21"/>
          <w:vertAlign w:val="superscript"/>
          <w:lang w:eastAsia="pl-PL"/>
        </w:rPr>
      </w:pPr>
      <w:r w:rsidRPr="007C6024">
        <w:rPr>
          <w:rFonts w:ascii="Tahoma" w:eastAsia="Times New Roman" w:hAnsi="Tahoma" w:cs="Tahoma"/>
          <w:b/>
          <w:bCs/>
          <w:color w:val="4B4B4B"/>
          <w:sz w:val="24"/>
          <w:szCs w:val="24"/>
          <w:u w:val="single"/>
          <w:lang w:eastAsia="pl-PL"/>
        </w:rPr>
        <w:t>Program</w:t>
      </w:r>
    </w:p>
    <w:p w14:paraId="3DD9AACA" w14:textId="0C7326DC" w:rsidR="00E670D6" w:rsidRDefault="00A413F1" w:rsidP="00E670D6">
      <w:pPr>
        <w:pStyle w:val="Akapitzlist"/>
        <w:numPr>
          <w:ilvl w:val="0"/>
          <w:numId w:val="37"/>
        </w:numPr>
        <w:jc w:val="both"/>
        <w:rPr>
          <w:rFonts w:eastAsia="Calibri" w:cstheme="minorHAnsi"/>
        </w:rPr>
      </w:pPr>
      <w:r>
        <w:rPr>
          <w:rFonts w:eastAsia="Calibri" w:cstheme="minorHAnsi"/>
        </w:rPr>
        <w:t>Kontrola zarządcza</w:t>
      </w:r>
    </w:p>
    <w:p w14:paraId="668BE437" w14:textId="77777777" w:rsidR="00E670D6" w:rsidRDefault="00E670D6" w:rsidP="00E670D6">
      <w:pPr>
        <w:pStyle w:val="Akapitzlist"/>
        <w:numPr>
          <w:ilvl w:val="0"/>
          <w:numId w:val="36"/>
        </w:numPr>
        <w:jc w:val="both"/>
        <w:rPr>
          <w:rFonts w:eastAsia="Calibri" w:cstheme="minorHAnsi"/>
        </w:rPr>
      </w:pPr>
      <w:r>
        <w:rPr>
          <w:rFonts w:eastAsia="Calibri" w:cstheme="minorHAnsi"/>
        </w:rPr>
        <w:t>Nowe rozwiązania zarządcze wprowadzone do jednostek sektora finansów publicznych w ramach kontroli zarządczej.</w:t>
      </w:r>
    </w:p>
    <w:p w14:paraId="1FBEFC3B" w14:textId="77777777" w:rsidR="00E670D6" w:rsidRPr="00AB02F9" w:rsidRDefault="00E670D6" w:rsidP="00E670D6">
      <w:pPr>
        <w:pStyle w:val="Akapitzlist"/>
        <w:numPr>
          <w:ilvl w:val="0"/>
          <w:numId w:val="36"/>
        </w:numPr>
        <w:jc w:val="both"/>
        <w:rPr>
          <w:rFonts w:eastAsia="Calibri" w:cstheme="minorHAnsi"/>
        </w:rPr>
      </w:pPr>
      <w:r w:rsidRPr="00AB02F9">
        <w:rPr>
          <w:rFonts w:eastAsia="Calibri" w:cstheme="minorHAnsi"/>
        </w:rPr>
        <w:lastRenderedPageBreak/>
        <w:t>Plan działalności jednostki i sprawozdanie z jego wykonania:</w:t>
      </w:r>
    </w:p>
    <w:p w14:paraId="7CDF2CA3" w14:textId="77777777" w:rsidR="00E670D6" w:rsidRPr="00AB02F9" w:rsidRDefault="00E670D6" w:rsidP="00E670D6">
      <w:pPr>
        <w:pStyle w:val="Akapitzlist"/>
        <w:jc w:val="both"/>
        <w:rPr>
          <w:rFonts w:eastAsia="Calibri" w:cstheme="minorHAnsi"/>
        </w:rPr>
      </w:pPr>
      <w:r w:rsidRPr="00AB02F9">
        <w:rPr>
          <w:rFonts w:eastAsia="Calibri" w:cstheme="minorHAnsi"/>
        </w:rPr>
        <w:t>- rozporządzenie Ministra Finansów w sprawie planu działalności i sprawozdania z jego wykonania,</w:t>
      </w:r>
    </w:p>
    <w:p w14:paraId="18C054D1" w14:textId="77777777" w:rsidR="00E670D6" w:rsidRPr="00AB02F9" w:rsidRDefault="00E670D6" w:rsidP="00E670D6">
      <w:pPr>
        <w:pStyle w:val="Akapitzlist"/>
        <w:jc w:val="both"/>
        <w:rPr>
          <w:rFonts w:eastAsia="Calibri" w:cstheme="minorHAnsi"/>
        </w:rPr>
      </w:pPr>
      <w:r w:rsidRPr="00AB02F9">
        <w:rPr>
          <w:rFonts w:eastAsia="Calibri" w:cstheme="minorHAnsi"/>
        </w:rPr>
        <w:t xml:space="preserve">- komunikat Ministra Finansów </w:t>
      </w:r>
      <w:proofErr w:type="spellStart"/>
      <w:r w:rsidRPr="00AB02F9">
        <w:rPr>
          <w:rFonts w:eastAsia="Calibri" w:cstheme="minorHAnsi"/>
        </w:rPr>
        <w:t>ws</w:t>
      </w:r>
      <w:proofErr w:type="spellEnd"/>
      <w:r w:rsidRPr="00AB02F9">
        <w:rPr>
          <w:rFonts w:eastAsia="Calibri" w:cstheme="minorHAnsi"/>
        </w:rPr>
        <w:t>. wytycznych w zakresie planowania i zarządzania ryzykiem</w:t>
      </w:r>
      <w:r>
        <w:rPr>
          <w:rFonts w:eastAsia="Calibri" w:cstheme="minorHAnsi"/>
        </w:rPr>
        <w:t>,</w:t>
      </w:r>
    </w:p>
    <w:p w14:paraId="2582831C" w14:textId="77777777" w:rsidR="00E670D6" w:rsidRPr="00AB02F9" w:rsidRDefault="00E670D6" w:rsidP="00E670D6">
      <w:pPr>
        <w:pStyle w:val="Akapitzlist"/>
        <w:jc w:val="both"/>
        <w:rPr>
          <w:rFonts w:eastAsia="Calibri" w:cstheme="minorHAnsi"/>
        </w:rPr>
      </w:pPr>
      <w:r w:rsidRPr="00AB02F9">
        <w:rPr>
          <w:rFonts w:eastAsia="Calibri" w:cstheme="minorHAnsi"/>
        </w:rPr>
        <w:t>- określanie celów i zadań oraz mierników realizacji celów (ćwiczenia)</w:t>
      </w:r>
      <w:r>
        <w:rPr>
          <w:rFonts w:eastAsia="Calibri" w:cstheme="minorHAnsi"/>
        </w:rPr>
        <w:t>,</w:t>
      </w:r>
    </w:p>
    <w:p w14:paraId="1AEC90F5" w14:textId="77777777" w:rsidR="00E670D6" w:rsidRPr="00AB02F9" w:rsidRDefault="00E670D6" w:rsidP="00E670D6">
      <w:pPr>
        <w:pStyle w:val="Akapitzlist"/>
        <w:jc w:val="both"/>
        <w:rPr>
          <w:rFonts w:eastAsia="Calibri" w:cstheme="minorHAnsi"/>
        </w:rPr>
      </w:pPr>
      <w:r w:rsidRPr="00AB02F9">
        <w:rPr>
          <w:rFonts w:eastAsia="Calibri" w:cstheme="minorHAnsi"/>
        </w:rPr>
        <w:t>- dobre praktyki w zakresie sporządzania planu działalności i monitorowania jego wykonania.</w:t>
      </w:r>
    </w:p>
    <w:p w14:paraId="0081BAEF" w14:textId="77777777" w:rsidR="00E670D6" w:rsidRPr="00AB02F9" w:rsidRDefault="00E670D6" w:rsidP="00E670D6">
      <w:pPr>
        <w:pStyle w:val="Akapitzlist"/>
        <w:numPr>
          <w:ilvl w:val="0"/>
          <w:numId w:val="36"/>
        </w:numPr>
        <w:jc w:val="both"/>
        <w:rPr>
          <w:rFonts w:eastAsia="Calibri" w:cstheme="minorHAnsi"/>
        </w:rPr>
      </w:pPr>
      <w:r w:rsidRPr="00AB02F9">
        <w:rPr>
          <w:rFonts w:eastAsia="Calibri" w:cstheme="minorHAnsi"/>
        </w:rPr>
        <w:t>Samoocena kontroli zarządczej:</w:t>
      </w:r>
    </w:p>
    <w:p w14:paraId="0BED1195" w14:textId="77777777" w:rsidR="00E670D6" w:rsidRPr="00AB02F9" w:rsidRDefault="00E670D6" w:rsidP="00E670D6">
      <w:pPr>
        <w:pStyle w:val="Akapitzlist"/>
        <w:jc w:val="both"/>
        <w:rPr>
          <w:rFonts w:eastAsia="Calibri" w:cstheme="minorHAnsi"/>
        </w:rPr>
      </w:pPr>
      <w:r w:rsidRPr="00AB02F9">
        <w:rPr>
          <w:rFonts w:eastAsia="Calibri" w:cstheme="minorHAnsi"/>
        </w:rPr>
        <w:t xml:space="preserve">- komunikat Ministra Finansów </w:t>
      </w:r>
      <w:proofErr w:type="spellStart"/>
      <w:r w:rsidRPr="00AB02F9">
        <w:rPr>
          <w:rFonts w:eastAsia="Calibri" w:cstheme="minorHAnsi"/>
        </w:rPr>
        <w:t>ws</w:t>
      </w:r>
      <w:proofErr w:type="spellEnd"/>
      <w:r w:rsidRPr="00AB02F9">
        <w:rPr>
          <w:rFonts w:eastAsia="Calibri" w:cstheme="minorHAnsi"/>
        </w:rPr>
        <w:t>. szczegółowych wytycznych w zakresie samooceny kontroli zarządczej,</w:t>
      </w:r>
    </w:p>
    <w:p w14:paraId="20C841CC" w14:textId="77777777" w:rsidR="00E670D6" w:rsidRPr="00AB02F9" w:rsidRDefault="00E670D6" w:rsidP="00E670D6">
      <w:pPr>
        <w:pStyle w:val="Akapitzlist"/>
        <w:jc w:val="both"/>
        <w:rPr>
          <w:rFonts w:eastAsia="Calibri" w:cstheme="minorHAnsi"/>
        </w:rPr>
      </w:pPr>
      <w:r w:rsidRPr="00AB02F9">
        <w:rPr>
          <w:rFonts w:eastAsia="Calibri" w:cstheme="minorHAnsi"/>
        </w:rPr>
        <w:t>- cel przeprowadzania samooceny kontroli zarządczej,</w:t>
      </w:r>
    </w:p>
    <w:p w14:paraId="3D90E4B9" w14:textId="77777777" w:rsidR="00E670D6" w:rsidRDefault="00E670D6" w:rsidP="00E670D6">
      <w:pPr>
        <w:pStyle w:val="Akapitzlist"/>
        <w:jc w:val="both"/>
        <w:rPr>
          <w:rFonts w:eastAsia="Calibri" w:cstheme="minorHAnsi"/>
        </w:rPr>
      </w:pPr>
      <w:r w:rsidRPr="00AB02F9">
        <w:rPr>
          <w:rFonts w:eastAsia="Calibri" w:cstheme="minorHAnsi"/>
        </w:rPr>
        <w:t>- dobre praktyki przeprowadzania samooceny kontroli zarządczej.</w:t>
      </w:r>
    </w:p>
    <w:p w14:paraId="7AA3527A" w14:textId="77777777" w:rsidR="00E670D6" w:rsidRDefault="00E670D6" w:rsidP="00E670D6">
      <w:pPr>
        <w:pStyle w:val="Akapitzlist"/>
        <w:numPr>
          <w:ilvl w:val="0"/>
          <w:numId w:val="36"/>
        </w:numPr>
        <w:jc w:val="both"/>
        <w:rPr>
          <w:rFonts w:eastAsia="Calibri" w:cstheme="minorHAnsi"/>
        </w:rPr>
      </w:pPr>
      <w:r>
        <w:rPr>
          <w:rFonts w:eastAsia="Calibri" w:cstheme="minorHAnsi"/>
        </w:rPr>
        <w:t>Monitorowanie kontroli zarządczej – dobre praktyki.</w:t>
      </w:r>
    </w:p>
    <w:p w14:paraId="669FFC91" w14:textId="77777777" w:rsidR="00E670D6" w:rsidRPr="0056567A" w:rsidRDefault="00E670D6" w:rsidP="00E670D6">
      <w:pPr>
        <w:pStyle w:val="Akapitzlist"/>
        <w:numPr>
          <w:ilvl w:val="0"/>
          <w:numId w:val="36"/>
        </w:numPr>
        <w:jc w:val="both"/>
        <w:rPr>
          <w:rFonts w:eastAsia="Calibri" w:cstheme="minorHAnsi"/>
        </w:rPr>
      </w:pPr>
      <w:r>
        <w:rPr>
          <w:rFonts w:eastAsia="Calibri" w:cstheme="minorHAnsi"/>
        </w:rPr>
        <w:t>Zapewnienie ciągłości realizacji zadań jednostki</w:t>
      </w:r>
    </w:p>
    <w:p w14:paraId="22A93665" w14:textId="77777777" w:rsidR="00E670D6" w:rsidRPr="00AB02F9" w:rsidRDefault="00E670D6" w:rsidP="00E670D6">
      <w:pPr>
        <w:pStyle w:val="Akapitzlist"/>
        <w:numPr>
          <w:ilvl w:val="0"/>
          <w:numId w:val="36"/>
        </w:numPr>
        <w:jc w:val="both"/>
        <w:rPr>
          <w:rFonts w:eastAsia="Calibri" w:cstheme="minorHAnsi"/>
        </w:rPr>
      </w:pPr>
      <w:r w:rsidRPr="00AB02F9">
        <w:rPr>
          <w:rFonts w:eastAsia="Calibri" w:cstheme="minorHAnsi"/>
        </w:rPr>
        <w:t>Uzyskanie zapewnienia o stanie kontroli zarządczej - oświadczenie o stanie kontroli zarządczej:</w:t>
      </w:r>
    </w:p>
    <w:p w14:paraId="509893DC" w14:textId="77777777" w:rsidR="00E670D6" w:rsidRPr="00AB02F9" w:rsidRDefault="00E670D6" w:rsidP="00E670D6">
      <w:pPr>
        <w:pStyle w:val="Akapitzlist"/>
        <w:jc w:val="both"/>
        <w:rPr>
          <w:rFonts w:eastAsia="Calibri" w:cstheme="minorHAnsi"/>
        </w:rPr>
      </w:pPr>
      <w:r w:rsidRPr="00AB02F9">
        <w:rPr>
          <w:rFonts w:eastAsia="Calibri" w:cstheme="minorHAnsi"/>
        </w:rPr>
        <w:t xml:space="preserve">- rozporządzenia Ministra Finansów </w:t>
      </w:r>
      <w:proofErr w:type="spellStart"/>
      <w:r w:rsidRPr="00AB02F9">
        <w:rPr>
          <w:rFonts w:eastAsia="Calibri" w:cstheme="minorHAnsi"/>
        </w:rPr>
        <w:t>ws</w:t>
      </w:r>
      <w:proofErr w:type="spellEnd"/>
      <w:r w:rsidRPr="00AB02F9">
        <w:rPr>
          <w:rFonts w:eastAsia="Calibri" w:cstheme="minorHAnsi"/>
        </w:rPr>
        <w:t>. w sprawie wzoru oświadczenia o stanie kontroli zarządczej,</w:t>
      </w:r>
    </w:p>
    <w:p w14:paraId="086D5098" w14:textId="77777777" w:rsidR="00E670D6" w:rsidRPr="00AB02F9" w:rsidRDefault="00E670D6" w:rsidP="00E670D6">
      <w:pPr>
        <w:pStyle w:val="Akapitzlist"/>
        <w:jc w:val="both"/>
        <w:rPr>
          <w:rFonts w:eastAsia="Calibri" w:cstheme="minorHAnsi"/>
        </w:rPr>
      </w:pPr>
      <w:r w:rsidRPr="00AB02F9">
        <w:rPr>
          <w:rFonts w:eastAsia="Calibri" w:cstheme="minorHAnsi"/>
        </w:rPr>
        <w:t>- propozycje rożnych sposobów przygotowania oświadczenia o stanie kontroli zarządczej,</w:t>
      </w:r>
    </w:p>
    <w:p w14:paraId="64B97962" w14:textId="77777777" w:rsidR="00E670D6" w:rsidRPr="00AB02F9" w:rsidRDefault="00E670D6" w:rsidP="00E670D6">
      <w:pPr>
        <w:pStyle w:val="Akapitzlist"/>
        <w:jc w:val="both"/>
        <w:rPr>
          <w:rFonts w:eastAsia="Calibri" w:cstheme="minorHAnsi"/>
        </w:rPr>
      </w:pPr>
      <w:r w:rsidRPr="00AB02F9">
        <w:rPr>
          <w:rFonts w:eastAsia="Calibri" w:cstheme="minorHAnsi"/>
        </w:rPr>
        <w:t>- zagrożenia wiążące się ze sporządzaniem oświadczenia o stanie kontroli zarządczej.</w:t>
      </w:r>
    </w:p>
    <w:p w14:paraId="3A729E36" w14:textId="1C37681E" w:rsidR="00E670D6" w:rsidRDefault="00E670D6" w:rsidP="00E670D6">
      <w:pPr>
        <w:pStyle w:val="Akapitzlist"/>
        <w:numPr>
          <w:ilvl w:val="0"/>
          <w:numId w:val="37"/>
        </w:numPr>
        <w:jc w:val="both"/>
        <w:rPr>
          <w:rFonts w:eastAsia="Calibri" w:cstheme="minorHAnsi"/>
        </w:rPr>
      </w:pPr>
      <w:r>
        <w:rPr>
          <w:rFonts w:eastAsia="Calibri" w:cstheme="minorHAnsi"/>
        </w:rPr>
        <w:t>Zarządzanie ryzykiem</w:t>
      </w:r>
    </w:p>
    <w:p w14:paraId="5A2C4FE3" w14:textId="77777777" w:rsidR="00E670D6" w:rsidRDefault="00E670D6" w:rsidP="00E670D6">
      <w:pPr>
        <w:pStyle w:val="Akapitzlist"/>
        <w:numPr>
          <w:ilvl w:val="0"/>
          <w:numId w:val="38"/>
        </w:numPr>
        <w:ind w:left="641" w:hanging="357"/>
        <w:jc w:val="both"/>
        <w:rPr>
          <w:rFonts w:eastAsia="Calibri" w:cstheme="minorHAnsi"/>
        </w:rPr>
      </w:pPr>
      <w:r>
        <w:rPr>
          <w:rFonts w:eastAsia="Calibri" w:cstheme="minorHAnsi"/>
        </w:rPr>
        <w:t>Co to jest ryzyko i zarządzanie ryzykiem</w:t>
      </w:r>
    </w:p>
    <w:p w14:paraId="7101A23C" w14:textId="77777777" w:rsidR="00E670D6" w:rsidRDefault="00E670D6" w:rsidP="00E670D6">
      <w:pPr>
        <w:pStyle w:val="Akapitzlist"/>
        <w:numPr>
          <w:ilvl w:val="0"/>
          <w:numId w:val="38"/>
        </w:numPr>
        <w:ind w:left="641" w:hanging="357"/>
        <w:jc w:val="both"/>
        <w:rPr>
          <w:rFonts w:eastAsia="Calibri" w:cstheme="minorHAnsi"/>
        </w:rPr>
      </w:pPr>
      <w:r>
        <w:rPr>
          <w:rFonts w:eastAsia="Calibri" w:cstheme="minorHAnsi"/>
        </w:rPr>
        <w:t>W</w:t>
      </w:r>
      <w:r w:rsidRPr="00ED6575">
        <w:rPr>
          <w:rFonts w:eastAsia="Calibri" w:cstheme="minorHAnsi"/>
        </w:rPr>
        <w:t xml:space="preserve">ytyczne dla zarządzania ryzykiem wynikające ze Standardów kontroli zarządczej oraz komunikatu Ministra Finansów </w:t>
      </w:r>
      <w:proofErr w:type="spellStart"/>
      <w:r w:rsidRPr="00ED6575">
        <w:rPr>
          <w:rFonts w:eastAsia="Calibri" w:cstheme="minorHAnsi"/>
        </w:rPr>
        <w:t>ws</w:t>
      </w:r>
      <w:proofErr w:type="spellEnd"/>
      <w:r w:rsidRPr="00ED6575">
        <w:rPr>
          <w:rFonts w:eastAsia="Calibri" w:cstheme="minorHAnsi"/>
        </w:rPr>
        <w:t>. wytycznych w zakresie planowania i zarządzania ryzykiem</w:t>
      </w:r>
    </w:p>
    <w:p w14:paraId="66B9D1C7" w14:textId="77777777" w:rsidR="00E670D6" w:rsidRDefault="00E670D6" w:rsidP="00E670D6">
      <w:pPr>
        <w:pStyle w:val="Akapitzlist"/>
        <w:numPr>
          <w:ilvl w:val="0"/>
          <w:numId w:val="38"/>
        </w:numPr>
        <w:ind w:left="641" w:hanging="357"/>
        <w:jc w:val="both"/>
        <w:rPr>
          <w:rFonts w:eastAsia="Calibri" w:cstheme="minorHAnsi"/>
        </w:rPr>
      </w:pPr>
      <w:r w:rsidRPr="00ED6575">
        <w:rPr>
          <w:rFonts w:eastAsia="Calibri" w:cstheme="minorHAnsi"/>
        </w:rPr>
        <w:t>Proces zarządzania ryzykiem</w:t>
      </w:r>
    </w:p>
    <w:p w14:paraId="01B1B469" w14:textId="77777777" w:rsidR="00E670D6" w:rsidRDefault="00E670D6" w:rsidP="00E670D6">
      <w:pPr>
        <w:pStyle w:val="Akapitzlist"/>
        <w:numPr>
          <w:ilvl w:val="0"/>
          <w:numId w:val="39"/>
        </w:numPr>
        <w:ind w:left="811" w:hanging="357"/>
        <w:jc w:val="both"/>
        <w:rPr>
          <w:rFonts w:eastAsia="Calibri" w:cstheme="minorHAnsi"/>
        </w:rPr>
      </w:pPr>
      <w:r>
        <w:rPr>
          <w:rFonts w:eastAsia="Calibri" w:cstheme="minorHAnsi"/>
        </w:rPr>
        <w:t>identyfikacja ryzyka</w:t>
      </w:r>
    </w:p>
    <w:p w14:paraId="1962CFF4" w14:textId="77777777" w:rsidR="00E670D6" w:rsidRDefault="00E670D6" w:rsidP="00E670D6">
      <w:pPr>
        <w:pStyle w:val="Akapitzlist"/>
        <w:numPr>
          <w:ilvl w:val="0"/>
          <w:numId w:val="39"/>
        </w:numPr>
        <w:ind w:left="811" w:hanging="357"/>
        <w:jc w:val="both"/>
        <w:rPr>
          <w:rFonts w:eastAsia="Calibri" w:cstheme="minorHAnsi"/>
        </w:rPr>
      </w:pPr>
      <w:r>
        <w:rPr>
          <w:rFonts w:eastAsia="Calibri" w:cstheme="minorHAnsi"/>
        </w:rPr>
        <w:t>opis ryzyka</w:t>
      </w:r>
    </w:p>
    <w:p w14:paraId="7ED072C5" w14:textId="77777777" w:rsidR="00E670D6" w:rsidRDefault="00E670D6" w:rsidP="00E670D6">
      <w:pPr>
        <w:pStyle w:val="Akapitzlist"/>
        <w:numPr>
          <w:ilvl w:val="0"/>
          <w:numId w:val="39"/>
        </w:numPr>
        <w:ind w:left="811" w:hanging="357"/>
        <w:jc w:val="both"/>
        <w:rPr>
          <w:rFonts w:eastAsia="Calibri" w:cstheme="minorHAnsi"/>
        </w:rPr>
      </w:pPr>
      <w:r>
        <w:rPr>
          <w:rFonts w:eastAsia="Calibri" w:cstheme="minorHAnsi"/>
        </w:rPr>
        <w:t xml:space="preserve">analiza ryzyka </w:t>
      </w:r>
    </w:p>
    <w:p w14:paraId="1DCFEA14" w14:textId="77777777" w:rsidR="00E670D6" w:rsidRDefault="00E670D6" w:rsidP="00E670D6">
      <w:pPr>
        <w:pStyle w:val="Akapitzlist"/>
        <w:ind w:left="567"/>
        <w:jc w:val="both"/>
        <w:rPr>
          <w:rFonts w:eastAsia="Calibri" w:cstheme="minorHAnsi"/>
        </w:rPr>
      </w:pPr>
      <w:r>
        <w:rPr>
          <w:rFonts w:eastAsia="Calibri" w:cstheme="minorHAnsi"/>
        </w:rPr>
        <w:t>- ocena skuteczności stosowanych mechanizmów kontrolnych</w:t>
      </w:r>
    </w:p>
    <w:p w14:paraId="4C53B424" w14:textId="77777777" w:rsidR="00E670D6" w:rsidRDefault="00E670D6" w:rsidP="00E670D6">
      <w:pPr>
        <w:pStyle w:val="Akapitzlist"/>
        <w:ind w:left="567"/>
        <w:jc w:val="both"/>
        <w:rPr>
          <w:rFonts w:eastAsia="Calibri" w:cstheme="minorHAnsi"/>
        </w:rPr>
      </w:pPr>
      <w:r>
        <w:rPr>
          <w:rFonts w:eastAsia="Calibri" w:cstheme="minorHAnsi"/>
        </w:rPr>
        <w:t>- metody analizy ryzyka (ilościowe, jakościowe, mieszane)</w:t>
      </w:r>
    </w:p>
    <w:p w14:paraId="4232AFBB" w14:textId="77777777" w:rsidR="00E670D6" w:rsidRDefault="00E670D6" w:rsidP="00E670D6">
      <w:pPr>
        <w:pStyle w:val="Akapitzlist"/>
        <w:ind w:left="567"/>
        <w:jc w:val="both"/>
        <w:rPr>
          <w:rFonts w:eastAsia="Calibri" w:cstheme="minorHAnsi"/>
        </w:rPr>
      </w:pPr>
      <w:r>
        <w:rPr>
          <w:rFonts w:eastAsia="Calibri" w:cstheme="minorHAnsi"/>
        </w:rPr>
        <w:t>- ocena prawdopodobieństwa i skutku materializacji ryzyka</w:t>
      </w:r>
    </w:p>
    <w:p w14:paraId="2D8C6CEE" w14:textId="77777777" w:rsidR="00E670D6" w:rsidRDefault="00E670D6" w:rsidP="00E670D6">
      <w:pPr>
        <w:pStyle w:val="Akapitzlist"/>
        <w:numPr>
          <w:ilvl w:val="0"/>
          <w:numId w:val="39"/>
        </w:numPr>
        <w:ind w:left="811" w:hanging="357"/>
        <w:jc w:val="both"/>
        <w:rPr>
          <w:rFonts w:eastAsia="Calibri" w:cstheme="minorHAnsi"/>
        </w:rPr>
      </w:pPr>
      <w:r>
        <w:rPr>
          <w:rFonts w:eastAsia="Calibri" w:cstheme="minorHAnsi"/>
        </w:rPr>
        <w:t>akceptowany poziom ryzyka i ewaluacja ryzyka</w:t>
      </w:r>
    </w:p>
    <w:p w14:paraId="7F3BB1AF" w14:textId="77777777" w:rsidR="00E670D6" w:rsidRDefault="00E670D6" w:rsidP="00E670D6">
      <w:pPr>
        <w:pStyle w:val="Akapitzlist"/>
        <w:numPr>
          <w:ilvl w:val="0"/>
          <w:numId w:val="39"/>
        </w:numPr>
        <w:ind w:left="811" w:hanging="357"/>
        <w:jc w:val="both"/>
        <w:rPr>
          <w:rFonts w:eastAsia="Calibri" w:cstheme="minorHAnsi"/>
        </w:rPr>
      </w:pPr>
      <w:r>
        <w:rPr>
          <w:rFonts w:eastAsia="Calibri" w:cstheme="minorHAnsi"/>
        </w:rPr>
        <w:t>odpowiedź/reakcja na ryzyko</w:t>
      </w:r>
    </w:p>
    <w:p w14:paraId="301C94DD" w14:textId="77777777" w:rsidR="00E670D6" w:rsidRDefault="00E670D6" w:rsidP="00E670D6">
      <w:pPr>
        <w:pStyle w:val="Akapitzlist"/>
        <w:numPr>
          <w:ilvl w:val="0"/>
          <w:numId w:val="39"/>
        </w:numPr>
        <w:ind w:left="811" w:hanging="357"/>
        <w:jc w:val="both"/>
        <w:rPr>
          <w:rFonts w:eastAsia="Calibri" w:cstheme="minorHAnsi"/>
        </w:rPr>
      </w:pPr>
      <w:r>
        <w:rPr>
          <w:rFonts w:eastAsia="Calibri" w:cstheme="minorHAnsi"/>
        </w:rPr>
        <w:t>dokumentowanie zarządzania ryzykiem</w:t>
      </w:r>
    </w:p>
    <w:p w14:paraId="5387B9BA" w14:textId="69A8B40F" w:rsidR="00E670D6" w:rsidRDefault="00E670D6" w:rsidP="00E670D6">
      <w:pPr>
        <w:pStyle w:val="Akapitzlist"/>
        <w:numPr>
          <w:ilvl w:val="0"/>
          <w:numId w:val="39"/>
        </w:numPr>
        <w:ind w:left="811" w:hanging="357"/>
        <w:jc w:val="both"/>
        <w:rPr>
          <w:rFonts w:eastAsia="Calibri" w:cstheme="minorHAnsi"/>
        </w:rPr>
      </w:pPr>
      <w:r>
        <w:rPr>
          <w:rFonts w:eastAsia="Calibri" w:cstheme="minorHAnsi"/>
        </w:rPr>
        <w:t>monitorowanie zarządzania ryzykiem.</w:t>
      </w:r>
    </w:p>
    <w:p w14:paraId="0810A1DB" w14:textId="35A99950" w:rsidR="00E670D6" w:rsidRDefault="00B024BF" w:rsidP="00B024BF">
      <w:pPr>
        <w:pStyle w:val="Akapitzlist"/>
        <w:numPr>
          <w:ilvl w:val="0"/>
          <w:numId w:val="37"/>
        </w:numPr>
        <w:jc w:val="both"/>
        <w:rPr>
          <w:rFonts w:eastAsia="Calibri" w:cstheme="minorHAnsi"/>
        </w:rPr>
      </w:pPr>
      <w:r>
        <w:rPr>
          <w:rFonts w:eastAsia="Calibri" w:cstheme="minorHAnsi"/>
        </w:rPr>
        <w:t>Zarządzanie szansami</w:t>
      </w:r>
    </w:p>
    <w:p w14:paraId="466B5233" w14:textId="3E7F6953" w:rsidR="00B024BF" w:rsidRDefault="006542A6" w:rsidP="00B024BF">
      <w:pPr>
        <w:pStyle w:val="Akapitzlist"/>
        <w:numPr>
          <w:ilvl w:val="0"/>
          <w:numId w:val="41"/>
        </w:numPr>
        <w:jc w:val="both"/>
        <w:rPr>
          <w:rFonts w:eastAsia="Calibri" w:cstheme="minorHAnsi"/>
        </w:rPr>
      </w:pPr>
      <w:r>
        <w:rPr>
          <w:rFonts w:eastAsia="Calibri" w:cstheme="minorHAnsi"/>
        </w:rPr>
        <w:t>P</w:t>
      </w:r>
      <w:r w:rsidR="007779E4">
        <w:rPr>
          <w:rFonts w:eastAsia="Calibri" w:cstheme="minorHAnsi"/>
        </w:rPr>
        <w:t xml:space="preserve">rzesłanki podjęcia decyzji </w:t>
      </w:r>
      <w:r w:rsidR="005F414F">
        <w:rPr>
          <w:rFonts w:eastAsia="Calibri" w:cstheme="minorHAnsi"/>
        </w:rPr>
        <w:t>o wykorzystaniu szansy</w:t>
      </w:r>
    </w:p>
    <w:p w14:paraId="2C7D55E8" w14:textId="73C5C108" w:rsidR="007779E4" w:rsidRDefault="006542A6" w:rsidP="00B024BF">
      <w:pPr>
        <w:pStyle w:val="Akapitzlist"/>
        <w:numPr>
          <w:ilvl w:val="0"/>
          <w:numId w:val="41"/>
        </w:numPr>
        <w:jc w:val="both"/>
        <w:rPr>
          <w:rFonts w:eastAsia="Calibri" w:cstheme="minorHAnsi"/>
        </w:rPr>
      </w:pPr>
      <w:r>
        <w:rPr>
          <w:rFonts w:eastAsia="Calibri" w:cstheme="minorHAnsi"/>
        </w:rPr>
        <w:t xml:space="preserve">Zarządzanie ryzykiem jako kluczowy </w:t>
      </w:r>
      <w:r w:rsidR="00F10A75">
        <w:rPr>
          <w:rFonts w:eastAsia="Calibri" w:cstheme="minorHAnsi"/>
        </w:rPr>
        <w:t>element powodzenia działań podejmowanych w celu wykorzystania szansy</w:t>
      </w:r>
    </w:p>
    <w:p w14:paraId="08F6E604" w14:textId="561D0B42" w:rsidR="00B024BF" w:rsidRDefault="005F414F" w:rsidP="00B024BF">
      <w:pPr>
        <w:pStyle w:val="Akapitzlist"/>
        <w:numPr>
          <w:ilvl w:val="0"/>
          <w:numId w:val="41"/>
        </w:numPr>
        <w:jc w:val="both"/>
        <w:rPr>
          <w:rFonts w:eastAsia="Calibri" w:cstheme="minorHAnsi"/>
        </w:rPr>
      </w:pPr>
      <w:r>
        <w:rPr>
          <w:rFonts w:eastAsia="Calibri" w:cstheme="minorHAnsi"/>
        </w:rPr>
        <w:t>Monitorowanie działań mających na celu wykorzystanie szansy</w:t>
      </w:r>
    </w:p>
    <w:p w14:paraId="3DD6B4CC" w14:textId="6F6D7544" w:rsidR="005F414F" w:rsidRPr="00B024BF" w:rsidRDefault="005F414F" w:rsidP="00B024BF">
      <w:pPr>
        <w:pStyle w:val="Akapitzlist"/>
        <w:numPr>
          <w:ilvl w:val="0"/>
          <w:numId w:val="41"/>
        </w:numPr>
        <w:jc w:val="both"/>
        <w:rPr>
          <w:rFonts w:eastAsia="Calibri" w:cstheme="minorHAnsi"/>
        </w:rPr>
      </w:pPr>
      <w:r>
        <w:rPr>
          <w:rFonts w:eastAsia="Calibri" w:cstheme="minorHAnsi"/>
        </w:rPr>
        <w:t>Dokumentowanie procesu zarz</w:t>
      </w:r>
      <w:r w:rsidR="00F10A75">
        <w:rPr>
          <w:rFonts w:eastAsia="Calibri" w:cstheme="minorHAnsi"/>
        </w:rPr>
        <w:t>ą</w:t>
      </w:r>
      <w:r>
        <w:rPr>
          <w:rFonts w:eastAsia="Calibri" w:cstheme="minorHAnsi"/>
        </w:rPr>
        <w:t>dzania szansami</w:t>
      </w:r>
    </w:p>
    <w:p w14:paraId="38A68011" w14:textId="33AEE46E" w:rsidR="00E670D6" w:rsidRPr="005F414F" w:rsidRDefault="00E670D6" w:rsidP="005F414F">
      <w:pPr>
        <w:pStyle w:val="Akapitzlist"/>
        <w:numPr>
          <w:ilvl w:val="0"/>
          <w:numId w:val="37"/>
        </w:numPr>
        <w:rPr>
          <w:rFonts w:eastAsia="Calibri" w:cstheme="minorHAnsi"/>
        </w:rPr>
      </w:pPr>
      <w:r w:rsidRPr="008A5000">
        <w:rPr>
          <w:rFonts w:eastAsia="Calibri" w:cstheme="minorHAnsi"/>
        </w:rPr>
        <w:t>Najczęstsze błędy popełnianie w wypełnianiu obowiązku sprawowania kontroli zarządczej (m. in. na podstawie raportów Najwyższej Izby Kontroli).</w:t>
      </w:r>
    </w:p>
    <w:p w14:paraId="17E3AA63" w14:textId="4AC408A2" w:rsidR="007C6024" w:rsidRPr="007C6024" w:rsidRDefault="007C6024" w:rsidP="007C6024">
      <w:pPr>
        <w:shd w:val="clear" w:color="auto" w:fill="D7D7DF"/>
        <w:spacing w:after="0" w:line="240" w:lineRule="auto"/>
        <w:outlineLvl w:val="3"/>
        <w:rPr>
          <w:rFonts w:ascii="Arial" w:eastAsia="Times New Roman" w:hAnsi="Arial" w:cs="Arial"/>
          <w:b/>
          <w:bCs/>
          <w:color w:val="4B4B4B"/>
          <w:sz w:val="21"/>
          <w:szCs w:val="21"/>
          <w:lang w:eastAsia="pl-PL"/>
        </w:rPr>
      </w:pPr>
      <w:r w:rsidRPr="007C6024">
        <w:rPr>
          <w:rFonts w:ascii="Tahoma" w:eastAsia="Times New Roman" w:hAnsi="Tahoma" w:cs="Tahoma"/>
          <w:b/>
          <w:bCs/>
          <w:color w:val="4B4B4B"/>
          <w:sz w:val="24"/>
          <w:szCs w:val="24"/>
          <w:u w:val="single"/>
          <w:lang w:eastAsia="pl-PL"/>
        </w:rPr>
        <w:t>Prowadzący</w:t>
      </w:r>
    </w:p>
    <w:p w14:paraId="046A5401" w14:textId="77777777" w:rsidR="00AF59B0" w:rsidRPr="00712362" w:rsidRDefault="007C6024" w:rsidP="00AF59B0">
      <w:pPr>
        <w:spacing w:after="48" w:line="312" w:lineRule="atLeast"/>
        <w:jc w:val="both"/>
        <w:rPr>
          <w:rFonts w:eastAsia="Times New Roman" w:cs="Arial"/>
          <w:lang w:eastAsia="pl-PL"/>
        </w:rPr>
      </w:pPr>
      <w:r w:rsidRPr="007C6024">
        <w:rPr>
          <w:rFonts w:ascii="Arial" w:eastAsia="Times New Roman" w:hAnsi="Arial" w:cs="Arial"/>
          <w:color w:val="4B4B4B"/>
          <w:sz w:val="18"/>
          <w:szCs w:val="18"/>
          <w:lang w:eastAsia="pl-PL"/>
        </w:rPr>
        <w:t> </w:t>
      </w:r>
      <w:r w:rsidR="00AF59B0" w:rsidRPr="00712362">
        <w:rPr>
          <w:rFonts w:eastAsia="Times New Roman" w:cs="Arial"/>
          <w:lang w:eastAsia="pl-PL"/>
        </w:rPr>
        <w:t xml:space="preserve">Marek Sawicki, naczelnik wydziału w urzędzie centralnym. Doświadczony audytor wewnętrzny (certyfikat Ministra Finansów). </w:t>
      </w:r>
      <w:r w:rsidR="00AF59B0" w:rsidRPr="00B02699">
        <w:rPr>
          <w:rFonts w:eastAsia="Times New Roman" w:cs="Arial"/>
          <w:lang w:val="en-US" w:eastAsia="pl-PL"/>
        </w:rPr>
        <w:t xml:space="preserve">Manager </w:t>
      </w:r>
      <w:proofErr w:type="spellStart"/>
      <w:r w:rsidR="00AF59B0" w:rsidRPr="00B02699">
        <w:rPr>
          <w:rFonts w:eastAsia="Times New Roman" w:cs="Arial"/>
          <w:lang w:val="en-US" w:eastAsia="pl-PL"/>
        </w:rPr>
        <w:t>ciągłości</w:t>
      </w:r>
      <w:proofErr w:type="spellEnd"/>
      <w:r w:rsidR="00AF59B0" w:rsidRPr="00B02699">
        <w:rPr>
          <w:rFonts w:eastAsia="Times New Roman" w:cs="Arial"/>
          <w:lang w:val="en-US" w:eastAsia="pl-PL"/>
        </w:rPr>
        <w:t xml:space="preserve"> </w:t>
      </w:r>
      <w:proofErr w:type="spellStart"/>
      <w:r w:rsidR="00AF59B0" w:rsidRPr="00B02699">
        <w:rPr>
          <w:rFonts w:eastAsia="Times New Roman" w:cs="Arial"/>
          <w:lang w:val="en-US" w:eastAsia="pl-PL"/>
        </w:rPr>
        <w:t>działania</w:t>
      </w:r>
      <w:proofErr w:type="spellEnd"/>
      <w:r w:rsidR="00AF59B0" w:rsidRPr="00B02699">
        <w:rPr>
          <w:rFonts w:eastAsia="Times New Roman" w:cs="Arial"/>
          <w:lang w:val="en-US" w:eastAsia="pl-PL"/>
        </w:rPr>
        <w:t xml:space="preserve"> </w:t>
      </w:r>
      <w:proofErr w:type="spellStart"/>
      <w:r w:rsidR="00AF59B0" w:rsidRPr="00B02699">
        <w:rPr>
          <w:rFonts w:eastAsia="Times New Roman" w:cs="Arial"/>
          <w:lang w:val="en-US" w:eastAsia="pl-PL"/>
        </w:rPr>
        <w:t>wg</w:t>
      </w:r>
      <w:proofErr w:type="spellEnd"/>
      <w:r w:rsidR="00AF59B0" w:rsidRPr="00B02699">
        <w:rPr>
          <w:rFonts w:eastAsia="Times New Roman" w:cs="Arial"/>
          <w:lang w:val="en-US" w:eastAsia="pl-PL"/>
        </w:rPr>
        <w:t>. Normy ISO 22301:2019 (</w:t>
      </w:r>
      <w:proofErr w:type="spellStart"/>
      <w:r w:rsidR="00AF59B0" w:rsidRPr="00B02699">
        <w:rPr>
          <w:rFonts w:eastAsia="Times New Roman" w:cs="Arial"/>
          <w:lang w:val="en-US" w:eastAsia="pl-PL"/>
        </w:rPr>
        <w:t>certyfikat</w:t>
      </w:r>
      <w:proofErr w:type="spellEnd"/>
      <w:r w:rsidR="00AF59B0" w:rsidRPr="00B02699">
        <w:rPr>
          <w:rFonts w:eastAsia="Times New Roman" w:cs="Arial"/>
          <w:lang w:val="en-US" w:eastAsia="pl-PL"/>
        </w:rPr>
        <w:t xml:space="preserve"> CIS-Certification &amp; Information Security Services). </w:t>
      </w:r>
      <w:r w:rsidR="00AF59B0" w:rsidRPr="00712362">
        <w:rPr>
          <w:rFonts w:eastAsia="Times New Roman" w:cs="Arial"/>
          <w:lang w:eastAsia="pl-PL"/>
        </w:rPr>
        <w:t xml:space="preserve">Trener budżetu zadaniowego (certyfikowany przez Ministerstwo Finansów). Od początku powstania obowiązku sprawowania kontroli zarządczej osobiście koordynuje </w:t>
      </w:r>
      <w:r w:rsidR="00AF59B0" w:rsidRPr="00712362">
        <w:rPr>
          <w:rFonts w:eastAsia="Times New Roman" w:cs="Arial"/>
          <w:lang w:eastAsia="pl-PL"/>
        </w:rPr>
        <w:lastRenderedPageBreak/>
        <w:t>wdrażanie i funkcjonowanie tego narzędzia zarządzania w urzędzie centralnym. Specjalizuje się w problematyce kontroli zarządczej, w tym w szczególności zarządzania ryzykiem oraz audytu wewnętrznego.</w:t>
      </w:r>
    </w:p>
    <w:p w14:paraId="616746A2" w14:textId="7E255837" w:rsidR="00AF59B0" w:rsidRDefault="00AF59B0" w:rsidP="005F414F">
      <w:pPr>
        <w:spacing w:after="48" w:line="312" w:lineRule="atLeast"/>
        <w:jc w:val="both"/>
        <w:rPr>
          <w:rFonts w:ascii="Arial" w:eastAsia="Times New Roman" w:hAnsi="Arial" w:cs="Arial"/>
          <w:color w:val="4B4B4B"/>
          <w:sz w:val="18"/>
          <w:szCs w:val="18"/>
          <w:lang w:eastAsia="pl-PL"/>
        </w:rPr>
      </w:pPr>
    </w:p>
    <w:p w14:paraId="6F24B714" w14:textId="77777777" w:rsidR="00AF59B0" w:rsidRDefault="00AF59B0" w:rsidP="005F414F">
      <w:pPr>
        <w:spacing w:after="48" w:line="312" w:lineRule="atLeast"/>
        <w:jc w:val="both"/>
        <w:rPr>
          <w:rFonts w:ascii="Arial" w:eastAsia="Times New Roman" w:hAnsi="Arial" w:cs="Arial"/>
          <w:color w:val="4B4B4B"/>
          <w:sz w:val="18"/>
          <w:szCs w:val="18"/>
          <w:lang w:eastAsia="pl-PL"/>
        </w:rPr>
      </w:pPr>
    </w:p>
    <w:sectPr w:rsidR="00AF59B0" w:rsidSect="009F4BF4">
      <w:pgSz w:w="11906" w:h="16838"/>
      <w:pgMar w:top="851"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546"/>
    <w:multiLevelType w:val="hybridMultilevel"/>
    <w:tmpl w:val="99E46E4C"/>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1" w15:restartNumberingAfterBreak="0">
    <w:nsid w:val="041129E5"/>
    <w:multiLevelType w:val="hybridMultilevel"/>
    <w:tmpl w:val="01BC0388"/>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4DA50DF"/>
    <w:multiLevelType w:val="multilevel"/>
    <w:tmpl w:val="7112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312CD"/>
    <w:multiLevelType w:val="hybridMultilevel"/>
    <w:tmpl w:val="ED042FBC"/>
    <w:lvl w:ilvl="0" w:tplc="0B38E4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F63C6"/>
    <w:multiLevelType w:val="hybridMultilevel"/>
    <w:tmpl w:val="6B4CD0C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18C449EE"/>
    <w:multiLevelType w:val="hybridMultilevel"/>
    <w:tmpl w:val="82940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42BEF"/>
    <w:multiLevelType w:val="hybridMultilevel"/>
    <w:tmpl w:val="381CD508"/>
    <w:lvl w:ilvl="0" w:tplc="0B38E4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E2C15"/>
    <w:multiLevelType w:val="hybridMultilevel"/>
    <w:tmpl w:val="AABA275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A6716C"/>
    <w:multiLevelType w:val="hybridMultilevel"/>
    <w:tmpl w:val="6F765E04"/>
    <w:lvl w:ilvl="0" w:tplc="B3AC4A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331EE"/>
    <w:multiLevelType w:val="hybridMultilevel"/>
    <w:tmpl w:val="15466B54"/>
    <w:lvl w:ilvl="0" w:tplc="C9E28F16">
      <w:start w:val="1"/>
      <w:numFmt w:val="decimal"/>
      <w:lvlText w:val="%1."/>
      <w:lvlJc w:val="left"/>
      <w:pPr>
        <w:ind w:left="720" w:hanging="360"/>
      </w:pPr>
      <w:rPr>
        <w:rFonts w:ascii="Verdana" w:hAnsi="Verdan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102397"/>
    <w:multiLevelType w:val="hybridMultilevel"/>
    <w:tmpl w:val="1942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555020"/>
    <w:multiLevelType w:val="hybridMultilevel"/>
    <w:tmpl w:val="676E8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70657"/>
    <w:multiLevelType w:val="hybridMultilevel"/>
    <w:tmpl w:val="E400644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FC0104A"/>
    <w:multiLevelType w:val="hybridMultilevel"/>
    <w:tmpl w:val="8EA0F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D178A"/>
    <w:multiLevelType w:val="hybridMultilevel"/>
    <w:tmpl w:val="03ECC496"/>
    <w:lvl w:ilvl="0" w:tplc="20FA8104">
      <w:start w:val="1"/>
      <w:numFmt w:val="decimal"/>
      <w:lvlText w:val="%1."/>
      <w:lvlJc w:val="left"/>
      <w:pPr>
        <w:ind w:left="786" w:hanging="360"/>
      </w:pPr>
      <w:rPr>
        <w:rFonts w:ascii="Verdana" w:hAnsi="Verdana"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8566D9F"/>
    <w:multiLevelType w:val="hybridMultilevel"/>
    <w:tmpl w:val="5B206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25FAF"/>
    <w:multiLevelType w:val="hybridMultilevel"/>
    <w:tmpl w:val="27B0D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2D2814"/>
    <w:multiLevelType w:val="hybridMultilevel"/>
    <w:tmpl w:val="90769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9F7B0C"/>
    <w:multiLevelType w:val="hybridMultilevel"/>
    <w:tmpl w:val="037C2D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C82308"/>
    <w:multiLevelType w:val="hybridMultilevel"/>
    <w:tmpl w:val="413AB3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AD470A"/>
    <w:multiLevelType w:val="hybridMultilevel"/>
    <w:tmpl w:val="07EA057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C0B15AF"/>
    <w:multiLevelType w:val="hybridMultilevel"/>
    <w:tmpl w:val="2822F6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D970BE"/>
    <w:multiLevelType w:val="hybridMultilevel"/>
    <w:tmpl w:val="0C986036"/>
    <w:lvl w:ilvl="0" w:tplc="0B38E4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B33164"/>
    <w:multiLevelType w:val="hybridMultilevel"/>
    <w:tmpl w:val="05A019B6"/>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51C2540B"/>
    <w:multiLevelType w:val="hybridMultilevel"/>
    <w:tmpl w:val="766C8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995273"/>
    <w:multiLevelType w:val="hybridMultilevel"/>
    <w:tmpl w:val="A57C2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725D93"/>
    <w:multiLevelType w:val="hybridMultilevel"/>
    <w:tmpl w:val="1B063E3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7" w15:restartNumberingAfterBreak="0">
    <w:nsid w:val="54CB350C"/>
    <w:multiLevelType w:val="hybridMultilevel"/>
    <w:tmpl w:val="A8F67C7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15:restartNumberingAfterBreak="0">
    <w:nsid w:val="570479FA"/>
    <w:multiLevelType w:val="hybridMultilevel"/>
    <w:tmpl w:val="61149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0B1099"/>
    <w:multiLevelType w:val="hybridMultilevel"/>
    <w:tmpl w:val="E230E66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60CA5FBB"/>
    <w:multiLevelType w:val="hybridMultilevel"/>
    <w:tmpl w:val="2866510C"/>
    <w:lvl w:ilvl="0" w:tplc="AED6EEE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61E89"/>
    <w:multiLevelType w:val="hybridMultilevel"/>
    <w:tmpl w:val="6F28A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DE0710"/>
    <w:multiLevelType w:val="hybridMultilevel"/>
    <w:tmpl w:val="1CA68B02"/>
    <w:lvl w:ilvl="0" w:tplc="0B38E4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D872DD"/>
    <w:multiLevelType w:val="hybridMultilevel"/>
    <w:tmpl w:val="D1C06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7D10BB"/>
    <w:multiLevelType w:val="multilevel"/>
    <w:tmpl w:val="03A8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61EB6"/>
    <w:multiLevelType w:val="hybridMultilevel"/>
    <w:tmpl w:val="D1820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512EAB"/>
    <w:multiLevelType w:val="hybridMultilevel"/>
    <w:tmpl w:val="3A4E3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6E3B33"/>
    <w:multiLevelType w:val="hybridMultilevel"/>
    <w:tmpl w:val="C7B29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F231C3"/>
    <w:multiLevelType w:val="hybridMultilevel"/>
    <w:tmpl w:val="9DFEC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CE3207"/>
    <w:multiLevelType w:val="hybridMultilevel"/>
    <w:tmpl w:val="0C7E8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942598"/>
    <w:multiLevelType w:val="hybridMultilevel"/>
    <w:tmpl w:val="0532AF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915628471">
    <w:abstractNumId w:val="34"/>
  </w:num>
  <w:num w:numId="2" w16cid:durableId="2093774273">
    <w:abstractNumId w:val="2"/>
  </w:num>
  <w:num w:numId="3" w16cid:durableId="1760322241">
    <w:abstractNumId w:val="17"/>
  </w:num>
  <w:num w:numId="4" w16cid:durableId="2022275742">
    <w:abstractNumId w:val="5"/>
  </w:num>
  <w:num w:numId="5" w16cid:durableId="1435054887">
    <w:abstractNumId w:val="9"/>
  </w:num>
  <w:num w:numId="6" w16cid:durableId="328942574">
    <w:abstractNumId w:val="7"/>
  </w:num>
  <w:num w:numId="7" w16cid:durableId="1048069738">
    <w:abstractNumId w:val="12"/>
  </w:num>
  <w:num w:numId="8" w16cid:durableId="490407482">
    <w:abstractNumId w:val="14"/>
  </w:num>
  <w:num w:numId="9" w16cid:durableId="1350722532">
    <w:abstractNumId w:val="20"/>
  </w:num>
  <w:num w:numId="10" w16cid:durableId="1824003332">
    <w:abstractNumId w:val="29"/>
  </w:num>
  <w:num w:numId="11" w16cid:durableId="1320040308">
    <w:abstractNumId w:val="30"/>
  </w:num>
  <w:num w:numId="12" w16cid:durableId="394400563">
    <w:abstractNumId w:val="23"/>
  </w:num>
  <w:num w:numId="13" w16cid:durableId="466900021">
    <w:abstractNumId w:val="4"/>
  </w:num>
  <w:num w:numId="14" w16cid:durableId="1720545408">
    <w:abstractNumId w:val="33"/>
  </w:num>
  <w:num w:numId="15" w16cid:durableId="1844080773">
    <w:abstractNumId w:val="24"/>
  </w:num>
  <w:num w:numId="16" w16cid:durableId="574173223">
    <w:abstractNumId w:val="25"/>
  </w:num>
  <w:num w:numId="17" w16cid:durableId="956564654">
    <w:abstractNumId w:val="37"/>
  </w:num>
  <w:num w:numId="18" w16cid:durableId="1399280035">
    <w:abstractNumId w:val="1"/>
  </w:num>
  <w:num w:numId="19" w16cid:durableId="1507358023">
    <w:abstractNumId w:val="39"/>
  </w:num>
  <w:num w:numId="20" w16cid:durableId="1263613218">
    <w:abstractNumId w:val="10"/>
  </w:num>
  <w:num w:numId="21" w16cid:durableId="1698578937">
    <w:abstractNumId w:val="6"/>
  </w:num>
  <w:num w:numId="22" w16cid:durableId="1425297173">
    <w:abstractNumId w:val="15"/>
  </w:num>
  <w:num w:numId="23" w16cid:durableId="1151606096">
    <w:abstractNumId w:val="22"/>
  </w:num>
  <w:num w:numId="24" w16cid:durableId="277225143">
    <w:abstractNumId w:val="32"/>
  </w:num>
  <w:num w:numId="25" w16cid:durableId="17201235">
    <w:abstractNumId w:val="3"/>
  </w:num>
  <w:num w:numId="26" w16cid:durableId="1287270112">
    <w:abstractNumId w:val="16"/>
  </w:num>
  <w:num w:numId="27" w16cid:durableId="1737582435">
    <w:abstractNumId w:val="36"/>
  </w:num>
  <w:num w:numId="28" w16cid:durableId="678894953">
    <w:abstractNumId w:val="35"/>
  </w:num>
  <w:num w:numId="29" w16cid:durableId="290400402">
    <w:abstractNumId w:val="27"/>
  </w:num>
  <w:num w:numId="30" w16cid:durableId="778990547">
    <w:abstractNumId w:val="26"/>
  </w:num>
  <w:num w:numId="31" w16cid:durableId="1553350620">
    <w:abstractNumId w:val="28"/>
  </w:num>
  <w:num w:numId="32" w16cid:durableId="690299509">
    <w:abstractNumId w:val="38"/>
  </w:num>
  <w:num w:numId="33" w16cid:durableId="1617323613">
    <w:abstractNumId w:val="13"/>
  </w:num>
  <w:num w:numId="34" w16cid:durableId="1540118632">
    <w:abstractNumId w:val="40"/>
  </w:num>
  <w:num w:numId="35" w16cid:durableId="2056736426">
    <w:abstractNumId w:val="31"/>
  </w:num>
  <w:num w:numId="36" w16cid:durableId="2138253124">
    <w:abstractNumId w:val="8"/>
  </w:num>
  <w:num w:numId="37" w16cid:durableId="705643024">
    <w:abstractNumId w:val="18"/>
  </w:num>
  <w:num w:numId="38" w16cid:durableId="241566710">
    <w:abstractNumId w:val="19"/>
  </w:num>
  <w:num w:numId="39" w16cid:durableId="2010056373">
    <w:abstractNumId w:val="0"/>
  </w:num>
  <w:num w:numId="40" w16cid:durableId="314378830">
    <w:abstractNumId w:val="21"/>
  </w:num>
  <w:num w:numId="41" w16cid:durableId="1777209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24"/>
    <w:rsid w:val="00032A88"/>
    <w:rsid w:val="00045313"/>
    <w:rsid w:val="00057E5B"/>
    <w:rsid w:val="000D1B72"/>
    <w:rsid w:val="000F1A53"/>
    <w:rsid w:val="000F5AB5"/>
    <w:rsid w:val="00132930"/>
    <w:rsid w:val="00154C22"/>
    <w:rsid w:val="001603A1"/>
    <w:rsid w:val="00163077"/>
    <w:rsid w:val="00183741"/>
    <w:rsid w:val="001A2F92"/>
    <w:rsid w:val="001A5907"/>
    <w:rsid w:val="001B63E9"/>
    <w:rsid w:val="001E0507"/>
    <w:rsid w:val="00224A33"/>
    <w:rsid w:val="00255285"/>
    <w:rsid w:val="002D4EEE"/>
    <w:rsid w:val="002E09C0"/>
    <w:rsid w:val="002F0810"/>
    <w:rsid w:val="00326AA9"/>
    <w:rsid w:val="003353CF"/>
    <w:rsid w:val="00337741"/>
    <w:rsid w:val="00354F3A"/>
    <w:rsid w:val="003739BA"/>
    <w:rsid w:val="003759A1"/>
    <w:rsid w:val="00377361"/>
    <w:rsid w:val="003B267C"/>
    <w:rsid w:val="003F2F49"/>
    <w:rsid w:val="00405612"/>
    <w:rsid w:val="00467C39"/>
    <w:rsid w:val="004761AB"/>
    <w:rsid w:val="0048402D"/>
    <w:rsid w:val="0051719F"/>
    <w:rsid w:val="00527B1D"/>
    <w:rsid w:val="00553C4D"/>
    <w:rsid w:val="00555675"/>
    <w:rsid w:val="00557FAB"/>
    <w:rsid w:val="005F414F"/>
    <w:rsid w:val="00644B56"/>
    <w:rsid w:val="006542A6"/>
    <w:rsid w:val="006B1FCA"/>
    <w:rsid w:val="006C75A9"/>
    <w:rsid w:val="006D41D6"/>
    <w:rsid w:val="007779E4"/>
    <w:rsid w:val="007C6024"/>
    <w:rsid w:val="007D0281"/>
    <w:rsid w:val="007D08A0"/>
    <w:rsid w:val="007E1D33"/>
    <w:rsid w:val="007F5D9D"/>
    <w:rsid w:val="00851B9D"/>
    <w:rsid w:val="008718D6"/>
    <w:rsid w:val="0089730F"/>
    <w:rsid w:val="008A5000"/>
    <w:rsid w:val="008B0334"/>
    <w:rsid w:val="00904CB7"/>
    <w:rsid w:val="009369C1"/>
    <w:rsid w:val="009B3F40"/>
    <w:rsid w:val="009F4BF4"/>
    <w:rsid w:val="00A413F1"/>
    <w:rsid w:val="00A51C6F"/>
    <w:rsid w:val="00A75D06"/>
    <w:rsid w:val="00AC39D0"/>
    <w:rsid w:val="00AF59B0"/>
    <w:rsid w:val="00AF6F67"/>
    <w:rsid w:val="00B024BF"/>
    <w:rsid w:val="00B02699"/>
    <w:rsid w:val="00B31832"/>
    <w:rsid w:val="00C16B83"/>
    <w:rsid w:val="00C273D2"/>
    <w:rsid w:val="00C769C2"/>
    <w:rsid w:val="00C94871"/>
    <w:rsid w:val="00C94C5C"/>
    <w:rsid w:val="00CA1D89"/>
    <w:rsid w:val="00D56522"/>
    <w:rsid w:val="00D75471"/>
    <w:rsid w:val="00D806BA"/>
    <w:rsid w:val="00D8646C"/>
    <w:rsid w:val="00E13839"/>
    <w:rsid w:val="00E249DB"/>
    <w:rsid w:val="00E45481"/>
    <w:rsid w:val="00E6428C"/>
    <w:rsid w:val="00E670D6"/>
    <w:rsid w:val="00E70F44"/>
    <w:rsid w:val="00EC3A6A"/>
    <w:rsid w:val="00ED6575"/>
    <w:rsid w:val="00F10A75"/>
    <w:rsid w:val="00F16FA4"/>
    <w:rsid w:val="00F3683B"/>
    <w:rsid w:val="00FC0144"/>
    <w:rsid w:val="00FC3384"/>
    <w:rsid w:val="00FE6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99DF2B"/>
  <w15:docId w15:val="{E1B634BC-E301-430E-AECA-A3F78E15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1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5506">
      <w:bodyDiv w:val="1"/>
      <w:marLeft w:val="0"/>
      <w:marRight w:val="0"/>
      <w:marTop w:val="0"/>
      <w:marBottom w:val="0"/>
      <w:divBdr>
        <w:top w:val="none" w:sz="0" w:space="0" w:color="auto"/>
        <w:left w:val="none" w:sz="0" w:space="0" w:color="auto"/>
        <w:bottom w:val="none" w:sz="0" w:space="0" w:color="auto"/>
        <w:right w:val="none" w:sz="0" w:space="0" w:color="auto"/>
      </w:divBdr>
      <w:divsChild>
        <w:div w:id="47413625">
          <w:marLeft w:val="0"/>
          <w:marRight w:val="0"/>
          <w:marTop w:val="0"/>
          <w:marBottom w:val="0"/>
          <w:divBdr>
            <w:top w:val="none" w:sz="0" w:space="0" w:color="auto"/>
            <w:left w:val="none" w:sz="0" w:space="0" w:color="auto"/>
            <w:bottom w:val="none" w:sz="0" w:space="0" w:color="auto"/>
            <w:right w:val="none" w:sz="0" w:space="0" w:color="auto"/>
          </w:divBdr>
          <w:divsChild>
            <w:div w:id="1423408270">
              <w:marLeft w:val="0"/>
              <w:marRight w:val="0"/>
              <w:marTop w:val="0"/>
              <w:marBottom w:val="0"/>
              <w:divBdr>
                <w:top w:val="none" w:sz="0" w:space="0" w:color="auto"/>
                <w:left w:val="none" w:sz="0" w:space="0" w:color="auto"/>
                <w:bottom w:val="none" w:sz="0" w:space="0" w:color="auto"/>
                <w:right w:val="none" w:sz="0" w:space="0" w:color="auto"/>
              </w:divBdr>
              <w:divsChild>
                <w:div w:id="1795826107">
                  <w:marLeft w:val="0"/>
                  <w:marRight w:val="0"/>
                  <w:marTop w:val="0"/>
                  <w:marBottom w:val="0"/>
                  <w:divBdr>
                    <w:top w:val="none" w:sz="0" w:space="0" w:color="auto"/>
                    <w:left w:val="none" w:sz="0" w:space="0" w:color="auto"/>
                    <w:bottom w:val="none" w:sz="0" w:space="0" w:color="auto"/>
                    <w:right w:val="none" w:sz="0" w:space="0" w:color="auto"/>
                  </w:divBdr>
                </w:div>
                <w:div w:id="12060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CB16-C5A6-4CB9-B655-52E09307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Marzena Polańska</cp:lastModifiedBy>
  <cp:revision>4</cp:revision>
  <dcterms:created xsi:type="dcterms:W3CDTF">2022-03-27T10:32:00Z</dcterms:created>
  <dcterms:modified xsi:type="dcterms:W3CDTF">2023-10-03T10:43:00Z</dcterms:modified>
</cp:coreProperties>
</file>